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F4" w:rsidRPr="00062CF7" w:rsidRDefault="00646636">
      <w:pPr>
        <w:spacing w:line="560" w:lineRule="exact"/>
        <w:jc w:val="center"/>
        <w:rPr>
          <w:rFonts w:ascii="彩虹小标宋" w:eastAsia="彩虹小标宋" w:hAnsi="Times New Roman"/>
          <w:color w:val="000000" w:themeColor="text1"/>
          <w:sz w:val="44"/>
          <w:szCs w:val="44"/>
        </w:rPr>
      </w:pPr>
      <w:r w:rsidRPr="00062CF7">
        <w:rPr>
          <w:rFonts w:ascii="彩虹小标宋" w:eastAsia="彩虹小标宋" w:hAnsi="Times New Roman" w:hint="eastAsia"/>
          <w:color w:val="000000" w:themeColor="text1"/>
          <w:sz w:val="44"/>
          <w:szCs w:val="44"/>
        </w:rPr>
        <w:t>关于调整中国建设银行“乾元-私享”（按日）开放式私人银行人民币理财产品（GD072017001000Y02）客户</w:t>
      </w:r>
      <w:proofErr w:type="gramStart"/>
      <w:r w:rsidRPr="00062CF7">
        <w:rPr>
          <w:rFonts w:ascii="彩虹小标宋" w:eastAsia="彩虹小标宋" w:hAnsi="Times New Roman" w:hint="eastAsia"/>
          <w:color w:val="000000" w:themeColor="text1"/>
          <w:sz w:val="44"/>
          <w:szCs w:val="44"/>
        </w:rPr>
        <w:t>预期年化收益率</w:t>
      </w:r>
      <w:proofErr w:type="gramEnd"/>
      <w:r w:rsidRPr="00062CF7">
        <w:rPr>
          <w:rFonts w:ascii="彩虹小标宋" w:eastAsia="彩虹小标宋" w:hAnsi="Times New Roman" w:hint="eastAsia"/>
          <w:color w:val="000000" w:themeColor="text1"/>
          <w:sz w:val="44"/>
          <w:szCs w:val="44"/>
        </w:rPr>
        <w:t>的公告</w:t>
      </w:r>
    </w:p>
    <w:p w:rsidR="00F72AF4" w:rsidRPr="00062CF7" w:rsidRDefault="00F72AF4">
      <w:pPr>
        <w:spacing w:line="560" w:lineRule="exact"/>
        <w:jc w:val="center"/>
        <w:rPr>
          <w:rFonts w:ascii="彩虹小标宋" w:eastAsia="彩虹小标宋" w:hAnsi="Times New Roman"/>
          <w:color w:val="000000" w:themeColor="text1"/>
          <w:sz w:val="44"/>
          <w:szCs w:val="44"/>
        </w:rPr>
      </w:pPr>
    </w:p>
    <w:p w:rsidR="00F72AF4" w:rsidRPr="00392B96" w:rsidRDefault="00646636" w:rsidP="00117802">
      <w:pPr>
        <w:widowControl/>
        <w:spacing w:line="560" w:lineRule="exact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尊敬的客户：</w:t>
      </w:r>
    </w:p>
    <w:p w:rsidR="00F72AF4" w:rsidRPr="00392B96" w:rsidRDefault="00646636" w:rsidP="00117802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中国建设银行拟于2025年10月24日（含）起，调整中国建设银行“乾元-私享”（按日）开放式私人银行人民币理财产品（产品编号：GD072017001000Y02）的客户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，并修订产品风险揭示书和产品说明书，具体内容如下表：</w:t>
      </w:r>
    </w:p>
    <w:p w:rsidR="00F72AF4" w:rsidRPr="00062CF7" w:rsidRDefault="00F72AF4">
      <w:pPr>
        <w:spacing w:line="560" w:lineRule="exact"/>
        <w:ind w:firstLineChars="200" w:firstLine="562"/>
        <w:rPr>
          <w:rFonts w:ascii="彩虹粗仿宋" w:eastAsia="彩虹粗仿宋" w:hAnsi="Calibri" w:cs="Times New Roman"/>
          <w:b/>
          <w:color w:val="000000" w:themeColor="text1"/>
          <w:kern w:val="0"/>
          <w:sz w:val="28"/>
          <w:szCs w:val="28"/>
        </w:rPr>
      </w:pPr>
    </w:p>
    <w:tbl>
      <w:tblPr>
        <w:tblW w:w="4808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458"/>
      </w:tblGrid>
      <w:tr w:rsidR="00062CF7" w:rsidRPr="00062CF7" w:rsidTr="00CF1065">
        <w:trPr>
          <w:cantSplit/>
          <w:trHeight w:val="409"/>
          <w:tblHeader/>
          <w:jc w:val="center"/>
        </w:trPr>
        <w:tc>
          <w:tcPr>
            <w:tcW w:w="1775" w:type="pct"/>
            <w:vAlign w:val="center"/>
          </w:tcPr>
          <w:p w:rsidR="00F72AF4" w:rsidRPr="00970D66" w:rsidRDefault="00646636">
            <w:pPr>
              <w:snapToGrid w:val="0"/>
              <w:jc w:val="center"/>
              <w:rPr>
                <w:rFonts w:ascii="彩虹粗仿宋" w:eastAsia="彩虹粗仿宋" w:hAnsi="彩虹粗仿宋" w:cs="彩虹粗仿宋"/>
                <w:color w:val="000000" w:themeColor="text1"/>
                <w:sz w:val="24"/>
                <w:szCs w:val="24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  <w:sz w:val="24"/>
                <w:szCs w:val="24"/>
              </w:rPr>
              <w:t>产品要素</w:t>
            </w:r>
          </w:p>
        </w:tc>
        <w:tc>
          <w:tcPr>
            <w:tcW w:w="1686" w:type="pct"/>
            <w:vAlign w:val="center"/>
          </w:tcPr>
          <w:p w:rsidR="00F72AF4" w:rsidRPr="00970D66" w:rsidRDefault="00646636">
            <w:pPr>
              <w:snapToGrid w:val="0"/>
              <w:jc w:val="center"/>
              <w:rPr>
                <w:rFonts w:ascii="彩虹粗仿宋" w:eastAsia="彩虹粗仿宋" w:hAnsi="彩虹粗仿宋" w:cs="彩虹粗仿宋"/>
                <w:color w:val="000000" w:themeColor="text1"/>
                <w:sz w:val="24"/>
                <w:szCs w:val="24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  <w:sz w:val="24"/>
                <w:szCs w:val="24"/>
              </w:rPr>
              <w:t>调整前</w:t>
            </w:r>
          </w:p>
        </w:tc>
        <w:tc>
          <w:tcPr>
            <w:tcW w:w="1539" w:type="pct"/>
            <w:vAlign w:val="center"/>
          </w:tcPr>
          <w:p w:rsidR="00F72AF4" w:rsidRPr="00970D66" w:rsidRDefault="00646636">
            <w:pPr>
              <w:snapToGrid w:val="0"/>
              <w:jc w:val="center"/>
              <w:rPr>
                <w:rFonts w:ascii="彩虹粗仿宋" w:eastAsia="彩虹粗仿宋" w:hAnsi="彩虹粗仿宋" w:cs="彩虹粗仿宋"/>
                <w:color w:val="000000" w:themeColor="text1"/>
                <w:sz w:val="24"/>
                <w:szCs w:val="24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  <w:sz w:val="24"/>
                <w:szCs w:val="24"/>
              </w:rPr>
              <w:t>调整后</w:t>
            </w:r>
          </w:p>
        </w:tc>
      </w:tr>
      <w:tr w:rsidR="00062CF7" w:rsidRPr="00062CF7" w:rsidTr="00CF1065">
        <w:trPr>
          <w:trHeight w:val="439"/>
          <w:jc w:val="center"/>
        </w:trPr>
        <w:tc>
          <w:tcPr>
            <w:tcW w:w="1775" w:type="pct"/>
            <w:vAlign w:val="center"/>
          </w:tcPr>
          <w:p w:rsidR="00F72AF4" w:rsidRPr="00970D66" w:rsidRDefault="00646636">
            <w:pPr>
              <w:snapToGrid w:val="0"/>
              <w:jc w:val="center"/>
              <w:rPr>
                <w:rFonts w:ascii="彩虹粗仿宋" w:eastAsia="彩虹粗仿宋" w:hAnsi="彩虹粗仿宋" w:cs="彩虹粗仿宋"/>
                <w:color w:val="000000" w:themeColor="text1"/>
                <w:sz w:val="24"/>
                <w:szCs w:val="24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  <w:sz w:val="24"/>
                <w:szCs w:val="24"/>
                <w:shd w:val="clear" w:color="auto" w:fill="FFFFFF"/>
              </w:rPr>
              <w:t>客户</w:t>
            </w:r>
            <w:proofErr w:type="gramStart"/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  <w:sz w:val="24"/>
                <w:szCs w:val="24"/>
                <w:shd w:val="clear" w:color="auto" w:fill="FFFFFF"/>
              </w:rPr>
              <w:t>预期年化收益率</w:t>
            </w:r>
            <w:proofErr w:type="gramEnd"/>
          </w:p>
        </w:tc>
        <w:tc>
          <w:tcPr>
            <w:tcW w:w="1686" w:type="pct"/>
            <w:vAlign w:val="center"/>
          </w:tcPr>
          <w:p w:rsidR="00F72AF4" w:rsidRPr="00970D66" w:rsidRDefault="00646636">
            <w:pPr>
              <w:pStyle w:val="a8"/>
              <w:shd w:val="clear" w:color="auto" w:fill="FFFFFF"/>
              <w:spacing w:before="0" w:beforeAutospacing="0" w:after="0" w:afterAutospacing="0" w:line="390" w:lineRule="atLeast"/>
              <w:ind w:right="189"/>
              <w:jc w:val="center"/>
              <w:rPr>
                <w:rFonts w:ascii="彩虹粗仿宋" w:eastAsia="彩虹粗仿宋" w:hAnsi="彩虹粗仿宋" w:cs="彩虹粗仿宋"/>
                <w:color w:val="000000" w:themeColor="text1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</w:rPr>
              <w:t>1.30%</w:t>
            </w:r>
          </w:p>
        </w:tc>
        <w:tc>
          <w:tcPr>
            <w:tcW w:w="1539" w:type="pct"/>
            <w:vAlign w:val="center"/>
          </w:tcPr>
          <w:p w:rsidR="00F72AF4" w:rsidRPr="00970D66" w:rsidRDefault="00646636">
            <w:pPr>
              <w:pStyle w:val="a8"/>
              <w:shd w:val="clear" w:color="auto" w:fill="FFFFFF"/>
              <w:spacing w:before="0" w:beforeAutospacing="0" w:after="0" w:afterAutospacing="0" w:line="390" w:lineRule="atLeast"/>
              <w:ind w:right="189"/>
              <w:jc w:val="center"/>
              <w:rPr>
                <w:rFonts w:ascii="彩虹粗仿宋" w:eastAsia="彩虹粗仿宋" w:hAnsi="彩虹粗仿宋" w:cs="彩虹粗仿宋"/>
                <w:color w:val="000000" w:themeColor="text1"/>
              </w:rPr>
            </w:pPr>
            <w:r w:rsidRPr="00970D66">
              <w:rPr>
                <w:rFonts w:ascii="彩虹粗仿宋" w:eastAsia="彩虹粗仿宋" w:hAnsi="彩虹粗仿宋" w:cs="彩虹粗仿宋" w:hint="eastAsia"/>
                <w:color w:val="000000" w:themeColor="text1"/>
              </w:rPr>
              <w:t>0.90%</w:t>
            </w:r>
          </w:p>
        </w:tc>
      </w:tr>
    </w:tbl>
    <w:p w:rsidR="00F72AF4" w:rsidRPr="00062CF7" w:rsidRDefault="00F72AF4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</w:p>
    <w:p w:rsidR="00F72AF4" w:rsidRPr="00392B96" w:rsidRDefault="00646636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调整后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于2025年10月24日（含）起执行。对于2025年10月24日（不含）前已经购买成功且未赎回的所有存量客户投资本金，按照客户实际持有天数确定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的相应档期，其中</w:t>
      </w:r>
      <w:bookmarkStart w:id="0" w:name="_Hlk35347671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2025年10月24日（不含）</w:t>
      </w:r>
      <w:bookmarkEnd w:id="0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前持有部分执行调整前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，2025年10月24日（含）后持有部分自动执行调整后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。前述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预期年化收益率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的表述均属不具有法律约束力的用语，不代表客户可能获得的实际收益，亦不构成中国建设银行对本产品的任何收益承诺，客户的最终投资收益均以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实际年化收益率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为准。</w:t>
      </w:r>
    </w:p>
    <w:p w:rsidR="00F72AF4" w:rsidRPr="00392B96" w:rsidRDefault="00646636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lastRenderedPageBreak/>
        <w:t>本公告未提及事宜，仍按照</w:t>
      </w:r>
      <w:proofErr w:type="gramStart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原风险</w:t>
      </w:r>
      <w:proofErr w:type="gramEnd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揭示书和产品说明书的约定执行。</w:t>
      </w:r>
    </w:p>
    <w:p w:rsidR="00F72AF4" w:rsidRPr="00392B96" w:rsidRDefault="00646636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特此公告。</w:t>
      </w:r>
    </w:p>
    <w:p w:rsidR="00F72AF4" w:rsidRPr="00392B96" w:rsidRDefault="00F72AF4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</w:p>
    <w:p w:rsidR="00F72AF4" w:rsidRPr="00392B96" w:rsidRDefault="00646636">
      <w:pPr>
        <w:spacing w:line="560" w:lineRule="exact"/>
        <w:ind w:firstLineChars="200" w:firstLine="640"/>
        <w:jc w:val="right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中国建设银行股份有限公司</w:t>
      </w:r>
    </w:p>
    <w:p w:rsidR="00F72AF4" w:rsidRPr="00392B96" w:rsidRDefault="00646636">
      <w:pPr>
        <w:spacing w:line="560" w:lineRule="exact"/>
        <w:ind w:firstLineChars="200" w:firstLine="640"/>
        <w:jc w:val="right"/>
        <w:rPr>
          <w:rFonts w:ascii="彩虹粗仿宋" w:eastAsia="彩虹粗仿宋" w:hAnsi="彩虹粗仿宋" w:cs="彩虹粗仿宋"/>
          <w:color w:val="000000" w:themeColor="text1"/>
          <w:sz w:val="32"/>
          <w:szCs w:val="32"/>
        </w:rPr>
      </w:pPr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2025年10月21</w:t>
      </w:r>
      <w:bookmarkStart w:id="1" w:name="_GoBack"/>
      <w:bookmarkEnd w:id="1"/>
      <w:r w:rsidRPr="00392B96">
        <w:rPr>
          <w:rFonts w:ascii="彩虹粗仿宋" w:eastAsia="彩虹粗仿宋" w:hAnsi="彩虹粗仿宋" w:cs="彩虹粗仿宋" w:hint="eastAsia"/>
          <w:color w:val="000000" w:themeColor="text1"/>
          <w:sz w:val="32"/>
          <w:szCs w:val="32"/>
        </w:rPr>
        <w:t>日</w:t>
      </w:r>
    </w:p>
    <w:sectPr w:rsidR="00F72AF4" w:rsidRPr="0039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4B"/>
    <w:rsid w:val="000375AC"/>
    <w:rsid w:val="0004463E"/>
    <w:rsid w:val="0004562F"/>
    <w:rsid w:val="00050042"/>
    <w:rsid w:val="00062CF7"/>
    <w:rsid w:val="000933C6"/>
    <w:rsid w:val="00097AA2"/>
    <w:rsid w:val="000A5968"/>
    <w:rsid w:val="000D3654"/>
    <w:rsid w:val="000F6496"/>
    <w:rsid w:val="000F673E"/>
    <w:rsid w:val="00111870"/>
    <w:rsid w:val="00117802"/>
    <w:rsid w:val="0011797D"/>
    <w:rsid w:val="00161512"/>
    <w:rsid w:val="0016687A"/>
    <w:rsid w:val="001700D3"/>
    <w:rsid w:val="00192EA4"/>
    <w:rsid w:val="001A48EB"/>
    <w:rsid w:val="001B5C5A"/>
    <w:rsid w:val="001C39BB"/>
    <w:rsid w:val="001D121A"/>
    <w:rsid w:val="001D5E10"/>
    <w:rsid w:val="001D7C9D"/>
    <w:rsid w:val="001E7F0C"/>
    <w:rsid w:val="001F2042"/>
    <w:rsid w:val="002049CE"/>
    <w:rsid w:val="00236410"/>
    <w:rsid w:val="00257712"/>
    <w:rsid w:val="0026690E"/>
    <w:rsid w:val="00280778"/>
    <w:rsid w:val="00291B82"/>
    <w:rsid w:val="002D4307"/>
    <w:rsid w:val="002F4C8E"/>
    <w:rsid w:val="003112AD"/>
    <w:rsid w:val="00317358"/>
    <w:rsid w:val="0035176D"/>
    <w:rsid w:val="003672A3"/>
    <w:rsid w:val="00392B96"/>
    <w:rsid w:val="003A5573"/>
    <w:rsid w:val="003B0D92"/>
    <w:rsid w:val="003B2865"/>
    <w:rsid w:val="003D14EE"/>
    <w:rsid w:val="003E2F8B"/>
    <w:rsid w:val="003E7BC7"/>
    <w:rsid w:val="00406EE3"/>
    <w:rsid w:val="0044070F"/>
    <w:rsid w:val="0044175A"/>
    <w:rsid w:val="004421A7"/>
    <w:rsid w:val="00443101"/>
    <w:rsid w:val="004562DB"/>
    <w:rsid w:val="004640BD"/>
    <w:rsid w:val="00472AD9"/>
    <w:rsid w:val="004868B2"/>
    <w:rsid w:val="004B5229"/>
    <w:rsid w:val="004C36AC"/>
    <w:rsid w:val="004D06A3"/>
    <w:rsid w:val="004E15F7"/>
    <w:rsid w:val="004F56BC"/>
    <w:rsid w:val="00511464"/>
    <w:rsid w:val="0054464B"/>
    <w:rsid w:val="00556ADD"/>
    <w:rsid w:val="00572238"/>
    <w:rsid w:val="005821C6"/>
    <w:rsid w:val="005958BC"/>
    <w:rsid w:val="005A419E"/>
    <w:rsid w:val="005A7E83"/>
    <w:rsid w:val="00601384"/>
    <w:rsid w:val="00623F72"/>
    <w:rsid w:val="00627348"/>
    <w:rsid w:val="00646636"/>
    <w:rsid w:val="00663A61"/>
    <w:rsid w:val="00687AFD"/>
    <w:rsid w:val="00695169"/>
    <w:rsid w:val="006B0250"/>
    <w:rsid w:val="006B468D"/>
    <w:rsid w:val="006E2178"/>
    <w:rsid w:val="006F11D6"/>
    <w:rsid w:val="006F6824"/>
    <w:rsid w:val="006F7075"/>
    <w:rsid w:val="006F7D6E"/>
    <w:rsid w:val="00702F58"/>
    <w:rsid w:val="0070671B"/>
    <w:rsid w:val="00715555"/>
    <w:rsid w:val="00725D21"/>
    <w:rsid w:val="0073185F"/>
    <w:rsid w:val="00732883"/>
    <w:rsid w:val="00741C3D"/>
    <w:rsid w:val="007440B8"/>
    <w:rsid w:val="00766798"/>
    <w:rsid w:val="007757BF"/>
    <w:rsid w:val="00780759"/>
    <w:rsid w:val="007A0029"/>
    <w:rsid w:val="007C42F3"/>
    <w:rsid w:val="007D3717"/>
    <w:rsid w:val="007E0604"/>
    <w:rsid w:val="007E4322"/>
    <w:rsid w:val="00827AF3"/>
    <w:rsid w:val="00832302"/>
    <w:rsid w:val="00834CE2"/>
    <w:rsid w:val="00836766"/>
    <w:rsid w:val="00850CA2"/>
    <w:rsid w:val="00862E06"/>
    <w:rsid w:val="008707BB"/>
    <w:rsid w:val="00875A5C"/>
    <w:rsid w:val="00887C1B"/>
    <w:rsid w:val="008A5F17"/>
    <w:rsid w:val="008A7204"/>
    <w:rsid w:val="008B7BDF"/>
    <w:rsid w:val="008D138F"/>
    <w:rsid w:val="00907C8D"/>
    <w:rsid w:val="00912E64"/>
    <w:rsid w:val="0091364D"/>
    <w:rsid w:val="00913F65"/>
    <w:rsid w:val="009378D3"/>
    <w:rsid w:val="00944B9A"/>
    <w:rsid w:val="009464A1"/>
    <w:rsid w:val="00960822"/>
    <w:rsid w:val="00970D66"/>
    <w:rsid w:val="009A227E"/>
    <w:rsid w:val="009A3CD0"/>
    <w:rsid w:val="009A6D2B"/>
    <w:rsid w:val="009A754F"/>
    <w:rsid w:val="009B6BB1"/>
    <w:rsid w:val="009D26F4"/>
    <w:rsid w:val="00A01FDC"/>
    <w:rsid w:val="00A3006D"/>
    <w:rsid w:val="00A47D48"/>
    <w:rsid w:val="00A6359D"/>
    <w:rsid w:val="00A6392A"/>
    <w:rsid w:val="00A67A1F"/>
    <w:rsid w:val="00A74C82"/>
    <w:rsid w:val="00A77F84"/>
    <w:rsid w:val="00A901D1"/>
    <w:rsid w:val="00A963FB"/>
    <w:rsid w:val="00AB2B28"/>
    <w:rsid w:val="00AD4078"/>
    <w:rsid w:val="00AF2469"/>
    <w:rsid w:val="00AF4EDF"/>
    <w:rsid w:val="00B111A9"/>
    <w:rsid w:val="00B24F8D"/>
    <w:rsid w:val="00B365B4"/>
    <w:rsid w:val="00B36FA6"/>
    <w:rsid w:val="00B41E9E"/>
    <w:rsid w:val="00B52D47"/>
    <w:rsid w:val="00B655D9"/>
    <w:rsid w:val="00B67D40"/>
    <w:rsid w:val="00B817FA"/>
    <w:rsid w:val="00B8527F"/>
    <w:rsid w:val="00B90263"/>
    <w:rsid w:val="00BA1E6C"/>
    <w:rsid w:val="00BB2062"/>
    <w:rsid w:val="00BB7CA2"/>
    <w:rsid w:val="00BD2DFD"/>
    <w:rsid w:val="00BD742B"/>
    <w:rsid w:val="00BE000A"/>
    <w:rsid w:val="00BE078F"/>
    <w:rsid w:val="00BE1920"/>
    <w:rsid w:val="00BE2E4F"/>
    <w:rsid w:val="00C00FBF"/>
    <w:rsid w:val="00C1069C"/>
    <w:rsid w:val="00C31D95"/>
    <w:rsid w:val="00C326FC"/>
    <w:rsid w:val="00C3427D"/>
    <w:rsid w:val="00C4264A"/>
    <w:rsid w:val="00C62065"/>
    <w:rsid w:val="00C71A06"/>
    <w:rsid w:val="00C73EB1"/>
    <w:rsid w:val="00C81045"/>
    <w:rsid w:val="00C9107A"/>
    <w:rsid w:val="00CC44C6"/>
    <w:rsid w:val="00CC5058"/>
    <w:rsid w:val="00CD060B"/>
    <w:rsid w:val="00CD2AE9"/>
    <w:rsid w:val="00CD3B4E"/>
    <w:rsid w:val="00CE40EE"/>
    <w:rsid w:val="00CF03E7"/>
    <w:rsid w:val="00CF1065"/>
    <w:rsid w:val="00D07316"/>
    <w:rsid w:val="00D450F4"/>
    <w:rsid w:val="00D52D7E"/>
    <w:rsid w:val="00D75925"/>
    <w:rsid w:val="00DB5D9B"/>
    <w:rsid w:val="00DC54AF"/>
    <w:rsid w:val="00DD118B"/>
    <w:rsid w:val="00DD3AB7"/>
    <w:rsid w:val="00DD68A5"/>
    <w:rsid w:val="00E1160E"/>
    <w:rsid w:val="00E11900"/>
    <w:rsid w:val="00E15795"/>
    <w:rsid w:val="00E20750"/>
    <w:rsid w:val="00E22085"/>
    <w:rsid w:val="00E22FBA"/>
    <w:rsid w:val="00E36285"/>
    <w:rsid w:val="00E45198"/>
    <w:rsid w:val="00E468DE"/>
    <w:rsid w:val="00E502F6"/>
    <w:rsid w:val="00E567AE"/>
    <w:rsid w:val="00E80000"/>
    <w:rsid w:val="00E822F3"/>
    <w:rsid w:val="00EA3ED2"/>
    <w:rsid w:val="00EC03C6"/>
    <w:rsid w:val="00ED0522"/>
    <w:rsid w:val="00ED2F60"/>
    <w:rsid w:val="00ED74A7"/>
    <w:rsid w:val="00EE6989"/>
    <w:rsid w:val="00EE6E15"/>
    <w:rsid w:val="00EE77C1"/>
    <w:rsid w:val="00EF7D4F"/>
    <w:rsid w:val="00F00D3E"/>
    <w:rsid w:val="00F23F88"/>
    <w:rsid w:val="00F51426"/>
    <w:rsid w:val="00F60417"/>
    <w:rsid w:val="00F71C5E"/>
    <w:rsid w:val="00F72AF4"/>
    <w:rsid w:val="00F7723B"/>
    <w:rsid w:val="00F85D45"/>
    <w:rsid w:val="00FA1A05"/>
    <w:rsid w:val="00FA6DDF"/>
    <w:rsid w:val="00FB05C5"/>
    <w:rsid w:val="00FC4BC5"/>
    <w:rsid w:val="00FD0D32"/>
    <w:rsid w:val="09ED3AD6"/>
    <w:rsid w:val="09FC0603"/>
    <w:rsid w:val="0A2E773B"/>
    <w:rsid w:val="0F7C194C"/>
    <w:rsid w:val="35E421F9"/>
    <w:rsid w:val="40F4632C"/>
    <w:rsid w:val="46E4575A"/>
    <w:rsid w:val="48D174DB"/>
    <w:rsid w:val="4C3F6C97"/>
    <w:rsid w:val="51F621AB"/>
    <w:rsid w:val="56363D8F"/>
    <w:rsid w:val="564C5BC5"/>
    <w:rsid w:val="57080D75"/>
    <w:rsid w:val="5C464AF3"/>
    <w:rsid w:val="5D4158F0"/>
    <w:rsid w:val="62A712E9"/>
    <w:rsid w:val="6A751905"/>
    <w:rsid w:val="6DB74B0F"/>
    <w:rsid w:val="7B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6B5AD-C52A-4B11-886E-FE570BB0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uiPriority w:val="99"/>
    <w:unhideWhenUsed/>
    <w:qFormat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童阳</dc:creator>
  <cp:lastModifiedBy>潘胤祺</cp:lastModifiedBy>
  <cp:revision>18</cp:revision>
  <cp:lastPrinted>2024-09-25T01:17:00Z</cp:lastPrinted>
  <dcterms:created xsi:type="dcterms:W3CDTF">2025-10-21T07:49:00Z</dcterms:created>
  <dcterms:modified xsi:type="dcterms:W3CDTF">2025-10-21T08:07:00Z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03E39C9034D54CB4B3BDD636BA3BDA36_12</vt:lpwstr>
  </property>
</Properties>
</file>